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0A" w:rsidRDefault="00AC290A" w:rsidP="00AC290A">
      <w:pPr>
        <w:ind w:firstLine="0"/>
        <w:rPr>
          <w:rFonts w:ascii="Times New Roman" w:eastAsia="Times New Roman" w:hAnsi="Times New Roman" w:cs="Times New Roman"/>
          <w:sz w:val="26"/>
          <w:szCs w:val="28"/>
        </w:rPr>
      </w:pPr>
      <w:r w:rsidRPr="00AC290A">
        <w:rPr>
          <w:rFonts w:ascii="Times New Roman" w:eastAsia="Times New Roman" w:hAnsi="Times New Roman" w:cs="Times New Roman"/>
          <w:b/>
          <w:bCs/>
          <w:sz w:val="26"/>
          <w:szCs w:val="28"/>
        </w:rPr>
        <w:t>Phục lục</w:t>
      </w:r>
      <w:r w:rsidR="0085464D" w:rsidRPr="00AC290A">
        <w:rPr>
          <w:rFonts w:ascii="Times New Roman" w:eastAsia="Times New Roman" w:hAnsi="Times New Roman" w:cs="Times New Roman"/>
          <w:b/>
          <w:bCs/>
          <w:sz w:val="26"/>
          <w:szCs w:val="28"/>
        </w:rPr>
        <w:t xml:space="preserve"> </w:t>
      </w:r>
      <w:r w:rsidR="00957DBE" w:rsidRPr="00AC290A">
        <w:rPr>
          <w:rFonts w:ascii="Times New Roman" w:eastAsia="Times New Roman" w:hAnsi="Times New Roman" w:cs="Times New Roman"/>
          <w:b/>
          <w:bCs/>
          <w:sz w:val="26"/>
          <w:szCs w:val="28"/>
        </w:rPr>
        <w:t>4</w:t>
      </w:r>
      <w:bookmarkStart w:id="0" w:name="chuong_phuluc1_name"/>
      <w:r>
        <w:rPr>
          <w:rFonts w:ascii="Times New Roman" w:eastAsia="Times New Roman" w:hAnsi="Times New Roman" w:cs="Times New Roman"/>
          <w:sz w:val="26"/>
          <w:szCs w:val="28"/>
        </w:rPr>
        <w:t xml:space="preserve"> </w:t>
      </w:r>
    </w:p>
    <w:p w:rsidR="00786A8B" w:rsidRPr="00AC290A" w:rsidRDefault="00AC290A" w:rsidP="00AC290A">
      <w:pPr>
        <w:ind w:firstLine="0"/>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786A8B" w:rsidRPr="000E50C9">
        <w:rPr>
          <w:rFonts w:ascii="Times New Roman" w:eastAsia="Times New Roman" w:hAnsi="Times New Roman" w:cs="Times New Roman"/>
          <w:b/>
          <w:sz w:val="26"/>
          <w:szCs w:val="28"/>
        </w:rPr>
        <w:t>PHÂN LOẠI DỰ ÁN ĐẦU TƯ XÂY DỰNG CÔNG TRÌNH</w:t>
      </w:r>
      <w:bookmarkEnd w:id="0"/>
    </w:p>
    <w:p w:rsidR="00786A8B" w:rsidRPr="000E50C9" w:rsidRDefault="00786A8B" w:rsidP="00786A8B">
      <w:pPr>
        <w:spacing w:before="0" w:after="0"/>
        <w:ind w:firstLine="0"/>
        <w:jc w:val="center"/>
        <w:rPr>
          <w:rFonts w:ascii="Times New Roman" w:eastAsia="Times New Roman" w:hAnsi="Times New Roman" w:cs="Times New Roman"/>
          <w:i/>
          <w:iCs/>
          <w:sz w:val="26"/>
          <w:szCs w:val="28"/>
        </w:rPr>
      </w:pPr>
      <w:r w:rsidRPr="000E50C9">
        <w:rPr>
          <w:rFonts w:ascii="Times New Roman" w:eastAsia="Times New Roman" w:hAnsi="Times New Roman" w:cs="Times New Roman"/>
          <w:i/>
          <w:iCs/>
          <w:sz w:val="26"/>
          <w:szCs w:val="28"/>
        </w:rPr>
        <w:t xml:space="preserve">(Ban hành kèm theo Nghị định số 12/2009/NĐ-CP </w:t>
      </w:r>
    </w:p>
    <w:p w:rsidR="00786A8B" w:rsidRPr="000E50C9" w:rsidRDefault="00786A8B" w:rsidP="00786A8B">
      <w:pPr>
        <w:spacing w:before="0" w:after="0"/>
        <w:ind w:firstLine="0"/>
        <w:jc w:val="center"/>
        <w:rPr>
          <w:rFonts w:ascii="Times New Roman" w:eastAsia="Times New Roman" w:hAnsi="Times New Roman" w:cs="Times New Roman"/>
          <w:i/>
          <w:iCs/>
          <w:sz w:val="26"/>
          <w:szCs w:val="28"/>
        </w:rPr>
      </w:pPr>
      <w:r w:rsidRPr="000E50C9">
        <w:rPr>
          <w:rFonts w:ascii="Times New Roman" w:eastAsia="Times New Roman" w:hAnsi="Times New Roman" w:cs="Times New Roman"/>
          <w:i/>
          <w:iCs/>
          <w:sz w:val="26"/>
          <w:szCs w:val="28"/>
        </w:rPr>
        <w:t>ngày 12/02/2009 của Chính phủ)</w:t>
      </w:r>
    </w:p>
    <w:p w:rsidR="00786A8B" w:rsidRPr="000E50C9" w:rsidRDefault="00786A8B" w:rsidP="00786A8B">
      <w:pPr>
        <w:spacing w:before="0" w:after="0"/>
        <w:ind w:firstLine="0"/>
        <w:jc w:val="center"/>
        <w:rPr>
          <w:rFonts w:ascii="Times New Roman" w:eastAsia="Times New Roman" w:hAnsi="Times New Roman" w:cs="Times New Roman"/>
          <w:sz w:val="26"/>
          <w:szCs w:val="28"/>
        </w:rPr>
      </w:pPr>
    </w:p>
    <w:tbl>
      <w:tblPr>
        <w:tblW w:w="8945" w:type="dxa"/>
        <w:tblInd w:w="-48" w:type="dxa"/>
        <w:tblLayout w:type="fixed"/>
        <w:tblCellMar>
          <w:left w:w="0" w:type="dxa"/>
          <w:right w:w="0" w:type="dxa"/>
        </w:tblCellMar>
        <w:tblLook w:val="04A0"/>
      </w:tblPr>
      <w:tblGrid>
        <w:gridCol w:w="748"/>
        <w:gridCol w:w="6347"/>
        <w:gridCol w:w="1850"/>
      </w:tblGrid>
      <w:tr w:rsidR="00786A8B" w:rsidRPr="000E50C9" w:rsidTr="00640CC1">
        <w:trPr>
          <w:tblHeader/>
        </w:trPr>
        <w:tc>
          <w:tcPr>
            <w:tcW w:w="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STT</w:t>
            </w:r>
          </w:p>
        </w:tc>
        <w:tc>
          <w:tcPr>
            <w:tcW w:w="6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before="0" w:after="0"/>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 xml:space="preserve">LOẠI DỰ ÁN ĐẦU TƯ </w:t>
            </w:r>
          </w:p>
          <w:p w:rsidR="00786A8B" w:rsidRPr="000E50C9" w:rsidRDefault="00786A8B" w:rsidP="00640CC1">
            <w:pPr>
              <w:spacing w:before="0" w:after="0"/>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XÂY DỰNG CÔNG TRÌNH</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before="0" w:after="0"/>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TỔNG MỨC</w:t>
            </w:r>
          </w:p>
          <w:p w:rsidR="00786A8B" w:rsidRPr="000E50C9" w:rsidRDefault="00786A8B" w:rsidP="00640CC1">
            <w:pPr>
              <w:spacing w:before="0" w:after="0"/>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ĐẦU TƯ</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b/>
                <w:sz w:val="26"/>
                <w:szCs w:val="28"/>
              </w:rPr>
            </w:pP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Dự án quan trọng quốc gia</w:t>
            </w:r>
          </w:p>
          <w:p w:rsidR="00786A8B" w:rsidRPr="000E50C9" w:rsidRDefault="00786A8B" w:rsidP="00640CC1">
            <w:pPr>
              <w:pStyle w:val="normal-p"/>
              <w:spacing w:before="120" w:after="120"/>
              <w:jc w:val="left"/>
              <w:rPr>
                <w:sz w:val="25"/>
                <w:szCs w:val="27"/>
              </w:rPr>
            </w:pPr>
            <w:r w:rsidRPr="000E50C9">
              <w:rPr>
                <w:rStyle w:val="normal-h1"/>
                <w:sz w:val="25"/>
                <w:szCs w:val="27"/>
              </w:rPr>
              <w:t>Dự án, công trình có một trong năm tiêu chí sau đây là dự án, công trình quan trọng quốc gia:</w:t>
            </w:r>
          </w:p>
          <w:p w:rsidR="00786A8B" w:rsidRPr="000E50C9" w:rsidRDefault="00786A8B" w:rsidP="00640CC1">
            <w:pPr>
              <w:pStyle w:val="normal-p"/>
              <w:spacing w:before="120" w:after="120"/>
              <w:jc w:val="left"/>
              <w:rPr>
                <w:sz w:val="25"/>
                <w:szCs w:val="27"/>
              </w:rPr>
            </w:pPr>
            <w:r w:rsidRPr="000E50C9">
              <w:rPr>
                <w:rStyle w:val="normal-h1"/>
                <w:sz w:val="25"/>
                <w:szCs w:val="27"/>
              </w:rPr>
              <w:t>1. Quy mô vốn đầu tư từ hai mươi nghìn tỷ đồng Việt Nam trở lên đối với dự án, công trình có sử dụng từ ba mươi phần trăm vốn nhà nước trở lên.</w:t>
            </w:r>
          </w:p>
          <w:p w:rsidR="00786A8B" w:rsidRPr="000E50C9" w:rsidRDefault="00786A8B" w:rsidP="00640CC1">
            <w:pPr>
              <w:pStyle w:val="normal-p"/>
              <w:spacing w:before="120" w:after="120"/>
              <w:jc w:val="left"/>
              <w:rPr>
                <w:sz w:val="25"/>
                <w:szCs w:val="27"/>
              </w:rPr>
            </w:pPr>
            <w:r w:rsidRPr="000E50C9">
              <w:rPr>
                <w:rStyle w:val="normal-h1"/>
                <w:sz w:val="25"/>
                <w:szCs w:val="27"/>
              </w:rPr>
              <w:t>2. Dự án, công trình có ảnh hưởng lớn đến môi trường hoặc tiềm ẩn khả năng ảnh hưởng nghiêm trọng đến môi trường, bao gồm:</w:t>
            </w:r>
          </w:p>
          <w:p w:rsidR="00786A8B" w:rsidRPr="000E50C9" w:rsidRDefault="00786A8B" w:rsidP="00640CC1">
            <w:pPr>
              <w:pStyle w:val="normal-p"/>
              <w:spacing w:before="120" w:after="120"/>
              <w:jc w:val="left"/>
              <w:rPr>
                <w:sz w:val="25"/>
                <w:szCs w:val="27"/>
              </w:rPr>
            </w:pPr>
            <w:r w:rsidRPr="000E50C9">
              <w:rPr>
                <w:rStyle w:val="normal-h1"/>
                <w:sz w:val="25"/>
                <w:szCs w:val="27"/>
              </w:rPr>
              <w:t>a) Nhà máy điện hạt nhân;</w:t>
            </w:r>
          </w:p>
          <w:p w:rsidR="00786A8B" w:rsidRPr="000E50C9" w:rsidRDefault="00786A8B" w:rsidP="00640CC1">
            <w:pPr>
              <w:pStyle w:val="normal-p"/>
              <w:spacing w:before="120" w:after="120"/>
              <w:jc w:val="left"/>
              <w:rPr>
                <w:sz w:val="25"/>
                <w:szCs w:val="27"/>
              </w:rPr>
            </w:pPr>
            <w:r w:rsidRPr="000E50C9">
              <w:rPr>
                <w:rStyle w:val="normal-h1"/>
                <w:sz w:val="25"/>
                <w:szCs w:val="27"/>
              </w:rPr>
              <w:t>b) Dự án đầu tư sử dụng đất có yêu cầu chuyển mục đích sử dụng đất rừng phòng hộ đầu nguồn từ hai trăm ha trở lên; đất rừng phòng hộ chắn sóng, lấn biển từ năm trăm ha trở lên; đất rừng đặc dụng từ hai trăm ha trở lên, trừ đất rừng là vườn quốc gia, khu bảo tồn thiên nhiên; đất rừng sản xuất từ một nghìn ha trở lên.</w:t>
            </w:r>
          </w:p>
          <w:p w:rsidR="00786A8B" w:rsidRPr="000E50C9" w:rsidRDefault="00786A8B" w:rsidP="00640CC1">
            <w:pPr>
              <w:pStyle w:val="normal-p"/>
              <w:spacing w:before="120" w:after="120"/>
              <w:jc w:val="left"/>
              <w:rPr>
                <w:sz w:val="25"/>
                <w:szCs w:val="27"/>
              </w:rPr>
            </w:pPr>
            <w:r w:rsidRPr="000E50C9">
              <w:rPr>
                <w:rStyle w:val="normal-h1"/>
                <w:sz w:val="25"/>
                <w:szCs w:val="27"/>
              </w:rPr>
              <w:t>3. Dự án, công trình phải di dân tái định cư từ hai mươi nghìn người trở lên ở miền núi, từ năm mươi nghìn người trở lên ở các vùng khác.</w:t>
            </w:r>
          </w:p>
          <w:p w:rsidR="00786A8B" w:rsidRPr="000E50C9" w:rsidRDefault="00786A8B" w:rsidP="00640CC1">
            <w:pPr>
              <w:pStyle w:val="normal-p"/>
              <w:spacing w:before="120" w:after="120"/>
              <w:jc w:val="left"/>
              <w:rPr>
                <w:sz w:val="25"/>
                <w:szCs w:val="27"/>
              </w:rPr>
            </w:pPr>
            <w:r w:rsidRPr="000E50C9">
              <w:rPr>
                <w:rStyle w:val="normal-h1"/>
                <w:sz w:val="25"/>
                <w:szCs w:val="27"/>
              </w:rPr>
              <w:t>4. Dự án, công trình đầu tư tại địa bàn đặc biệt quan trọng đối với quốc gia về quốc phòng, an ninh hoặc có di tích quốc gia có giá trị đặc biệt quan trọng về lịch sử, văn hóa.</w:t>
            </w:r>
          </w:p>
          <w:p w:rsidR="00786A8B" w:rsidRPr="000E50C9" w:rsidRDefault="00786A8B" w:rsidP="00640CC1">
            <w:pPr>
              <w:pStyle w:val="normal-p"/>
              <w:spacing w:before="120" w:after="120"/>
              <w:jc w:val="left"/>
              <w:rPr>
                <w:b/>
                <w:sz w:val="26"/>
                <w:szCs w:val="28"/>
              </w:rPr>
            </w:pPr>
            <w:r w:rsidRPr="000E50C9">
              <w:rPr>
                <w:rStyle w:val="normal-h1"/>
                <w:sz w:val="25"/>
                <w:szCs w:val="27"/>
              </w:rPr>
              <w:t>5. Dự án, công trình đòi hỏi phải áp dụng cơ chế, chính sách đặc biệt cần được Quốc hội quyết định.</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Theo Nghị quyết số 66/2006/QH11 của Quốc hội</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I</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Nhóm A</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1</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thuộc lĩnh vực bảo vệ an ninh, quốc phòng có tính chất bảo mật quốc gia, có ý nghĩa chính trị - xã hội quan trọng.</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Không kể mức vốn</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2</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sản xuất chất độc hại, chất nổ; hạ tầng khu công nghiệp</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Không kể mức vốn</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3</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 xml:space="preserve">Các dự án đầu tư xây dựng công trình: công nghiệp điện, khai thác dầu khí, hoá chất, phân bón, chế tạo máy, xi </w:t>
            </w:r>
            <w:r w:rsidRPr="000E50C9">
              <w:rPr>
                <w:rFonts w:ascii="Times New Roman" w:eastAsia="Times New Roman" w:hAnsi="Times New Roman" w:cs="Times New Roman"/>
                <w:sz w:val="26"/>
                <w:szCs w:val="28"/>
              </w:rPr>
              <w:lastRenderedPageBreak/>
              <w:t>măng, luyện kim, khai thác chế biến khoáng sản, các dự án giao thông (cầu, cảng biển, cảng sông, sân bay, đường sắt, đường quốc lộ), xây dựng khu nhà ở.</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lastRenderedPageBreak/>
              <w:t xml:space="preserve">Trên 1.500 tỷ </w:t>
            </w:r>
            <w:r w:rsidRPr="000E50C9">
              <w:rPr>
                <w:rFonts w:ascii="Times New Roman" w:eastAsia="Times New Roman" w:hAnsi="Times New Roman" w:cs="Times New Roman"/>
                <w:sz w:val="26"/>
                <w:szCs w:val="28"/>
              </w:rPr>
              <w:lastRenderedPageBreak/>
              <w:t>đồng</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lastRenderedPageBreak/>
              <w:t>4</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thuỷ lợi, giao thông (khác ở điểm I - 3),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Trên 1.000 tỷ đồng</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5</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công nghiệp nhẹ, sành sứ, thuỷ tinh, in, vườn quốc gia, khu bảo tồn thiên nhiên, sản xuất nông, lâm nghiệp, nuôi trồng thuỷ sản, chế biến nông, lâm, thuỷ sản.</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Trên 700 tỷ đồng</w:t>
            </w:r>
          </w:p>
        </w:tc>
      </w:tr>
      <w:tr w:rsidR="00786A8B" w:rsidRPr="000E50C9" w:rsidTr="00640CC1">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6</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Trên 500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br w:type="page"/>
            </w:r>
            <w:r w:rsidRPr="000E50C9">
              <w:rPr>
                <w:rFonts w:ascii="Times New Roman" w:eastAsia="Times New Roman" w:hAnsi="Times New Roman" w:cs="Times New Roman"/>
                <w:b/>
                <w:sz w:val="26"/>
                <w:szCs w:val="28"/>
              </w:rPr>
              <w:br w:type="page"/>
              <w:t>II</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Nhóm B</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1</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công nghiệp điện, khai thác dầu khí, hoá chất, phân bón, chế tạo máy, xi măng, luyện kim, khai thác chế biến khoáng sản, các dự án giao thông (cầu, cảng biển, cảng sông, sân bay, đường sắt, đường quốc lộ), xây dựng khu nhà ở.</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Từ 75 đến 1.500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2</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thuỷ lợi, giao thông (khác ở điểm II - 1),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Từ 50 đến 1.000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3</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hạ tầng kỹ thuật khu đô thị mới, công nghiệp nhẹ, sành sứ, thuỷ tinh, in, vườn quốc gia, khu bảo tồn thiên nhiên, sản xuất nông, lâm nghiệp, nuôi trồng thuỷ sản, chế biến nông, lâm, thuỷ sản.</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Từ 40 đến 700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4</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Từ 30 đến 500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III</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b/>
                <w:sz w:val="26"/>
                <w:szCs w:val="28"/>
              </w:rPr>
            </w:pPr>
            <w:r w:rsidRPr="000E50C9">
              <w:rPr>
                <w:rFonts w:ascii="Times New Roman" w:eastAsia="Times New Roman" w:hAnsi="Times New Roman" w:cs="Times New Roman"/>
                <w:b/>
                <w:sz w:val="26"/>
                <w:szCs w:val="28"/>
              </w:rPr>
              <w:t>Nhóm C</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lastRenderedPageBreak/>
              <w:t>1</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công nghiệp điện, khai thác dầu khí, hoá chất, phân bón, chế tạo máy, xi măng, luyện kim, khai thác chế biến khoáng sản, các dự án giao thông (cầu, cảng biển, cảng sông, sân bay, đường sắt, đường quốc lộ). Các trường phổ thông nằm trong quy hoạch (không kể mức vốn), xây dựng khu nhà ở.</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Dưới 75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2</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thuỷ lợi, giao thông (khác ở điểm III - 1),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Dưới 50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3</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công nghiệp nhẹ, sành sứ, thuỷ tinh, in, vườn quốc gia, khu bảo tồn thiên nhiên, sản xuất nông, lâm nghiệp, nuôi trồng thuỷ sản, chế biến nông, lâm, thuỷ sản.</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Dưới 40 tỷ đồng</w:t>
            </w:r>
          </w:p>
        </w:tc>
      </w:tr>
      <w:tr w:rsidR="00786A8B" w:rsidRPr="000E50C9" w:rsidTr="00640CC1">
        <w:trPr>
          <w:trHeight w:val="549"/>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br w:type="page"/>
            </w:r>
          </w:p>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4</w:t>
            </w:r>
          </w:p>
        </w:tc>
        <w:tc>
          <w:tcPr>
            <w:tcW w:w="6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8B" w:rsidRPr="000E50C9" w:rsidRDefault="00786A8B" w:rsidP="00640CC1">
            <w:pPr>
              <w:spacing w:line="240" w:lineRule="auto"/>
              <w:ind w:firstLine="0"/>
              <w:jc w:val="center"/>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Dưới 30 tỷ đồng</w:t>
            </w:r>
          </w:p>
        </w:tc>
      </w:tr>
    </w:tbl>
    <w:p w:rsidR="00786A8B" w:rsidRPr="000E50C9" w:rsidRDefault="00786A8B" w:rsidP="00786A8B">
      <w:pPr>
        <w:ind w:firstLine="0"/>
        <w:jc w:val="left"/>
        <w:rPr>
          <w:rFonts w:ascii="Times New Roman" w:eastAsia="Times New Roman" w:hAnsi="Times New Roman" w:cs="Times New Roman"/>
          <w:b/>
          <w:i/>
          <w:sz w:val="26"/>
          <w:szCs w:val="28"/>
        </w:rPr>
      </w:pPr>
      <w:r w:rsidRPr="000E50C9">
        <w:rPr>
          <w:rFonts w:ascii="Times New Roman" w:eastAsia="Times New Roman" w:hAnsi="Times New Roman" w:cs="Times New Roman"/>
          <w:b/>
          <w:i/>
          <w:sz w:val="26"/>
          <w:szCs w:val="28"/>
        </w:rPr>
        <w:t xml:space="preserve">Ghi chú: </w:t>
      </w:r>
    </w:p>
    <w:p w:rsidR="00786A8B" w:rsidRPr="000E50C9" w:rsidRDefault="00786A8B" w:rsidP="00786A8B">
      <w:pPr>
        <w:ind w:firstLine="0"/>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1. Các dự án nhóm A về đường sắt,</w:t>
      </w:r>
      <w:r w:rsidR="0080356B">
        <w:rPr>
          <w:rFonts w:ascii="Times New Roman" w:eastAsia="Times New Roman" w:hAnsi="Times New Roman" w:cs="Times New Roman"/>
          <w:sz w:val="26"/>
          <w:szCs w:val="28"/>
        </w:rPr>
        <w:t xml:space="preserve"> </w:t>
      </w:r>
      <w:r w:rsidRPr="000E50C9">
        <w:rPr>
          <w:rFonts w:ascii="Times New Roman" w:eastAsia="Times New Roman" w:hAnsi="Times New Roman" w:cs="Times New Roman"/>
          <w:sz w:val="26"/>
          <w:szCs w:val="28"/>
        </w:rPr>
        <w:t>đường bộ phải được phân đoạn theo chiều dài đường, cấp đường, cầu theo hướng dẫn của Bộ Giao thông vận tải.</w:t>
      </w:r>
    </w:p>
    <w:p w:rsidR="00786A8B" w:rsidRPr="000E50C9" w:rsidRDefault="00786A8B" w:rsidP="00786A8B">
      <w:pPr>
        <w:ind w:firstLine="0"/>
        <w:jc w:val="left"/>
        <w:rPr>
          <w:rFonts w:ascii="Times New Roman" w:eastAsia="Times New Roman" w:hAnsi="Times New Roman" w:cs="Times New Roman"/>
          <w:sz w:val="26"/>
          <w:szCs w:val="28"/>
        </w:rPr>
      </w:pPr>
      <w:r w:rsidRPr="000E50C9">
        <w:rPr>
          <w:rFonts w:ascii="Times New Roman" w:eastAsia="Times New Roman" w:hAnsi="Times New Roman" w:cs="Times New Roman"/>
          <w:sz w:val="26"/>
          <w:szCs w:val="28"/>
        </w:rPr>
        <w:t>2. Các dự án xây dựng trụ sở,</w:t>
      </w:r>
      <w:r w:rsidR="0080356B">
        <w:rPr>
          <w:rFonts w:ascii="Times New Roman" w:eastAsia="Times New Roman" w:hAnsi="Times New Roman" w:cs="Times New Roman"/>
          <w:sz w:val="26"/>
          <w:szCs w:val="28"/>
        </w:rPr>
        <w:t xml:space="preserve"> </w:t>
      </w:r>
      <w:r w:rsidRPr="000E50C9">
        <w:rPr>
          <w:rFonts w:ascii="Times New Roman" w:eastAsia="Times New Roman" w:hAnsi="Times New Roman" w:cs="Times New Roman"/>
          <w:sz w:val="26"/>
          <w:szCs w:val="28"/>
        </w:rPr>
        <w:t>nhà làm việc của cơ quan nhà nước phải thực hiện theo quyết định của Thủ tướng Chính phủ.</w:t>
      </w:r>
    </w:p>
    <w:p w:rsidR="00D14A63" w:rsidRPr="000E50C9" w:rsidRDefault="00D14A63" w:rsidP="0090490A">
      <w:pPr>
        <w:ind w:firstLine="0"/>
        <w:rPr>
          <w:rFonts w:ascii="Times New Roman" w:hAnsi="Times New Roman" w:cs="Times New Roman"/>
          <w:sz w:val="26"/>
          <w:szCs w:val="28"/>
        </w:rPr>
      </w:pPr>
    </w:p>
    <w:sectPr w:rsidR="00D14A63" w:rsidRPr="000E50C9" w:rsidSect="008942A5">
      <w:footerReference w:type="default" r:id="rId6"/>
      <w:pgSz w:w="11907" w:h="16840" w:code="9"/>
      <w:pgMar w:top="1134" w:right="1134" w:bottom="1134" w:left="1985" w:header="720" w:footer="720" w:gutter="0"/>
      <w:pgNumType w:start="2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B1" w:rsidRDefault="006E62B1" w:rsidP="002A6D16">
      <w:pPr>
        <w:spacing w:before="0" w:after="0" w:line="240" w:lineRule="auto"/>
      </w:pPr>
      <w:r>
        <w:separator/>
      </w:r>
    </w:p>
  </w:endnote>
  <w:endnote w:type="continuationSeparator" w:id="1">
    <w:p w:rsidR="006E62B1" w:rsidRDefault="006E62B1" w:rsidP="002A6D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170"/>
      <w:docPartObj>
        <w:docPartGallery w:val="Page Numbers (Bottom of Page)"/>
        <w:docPartUnique/>
      </w:docPartObj>
    </w:sdtPr>
    <w:sdtContent>
      <w:p w:rsidR="002A6D16" w:rsidRDefault="003C0821">
        <w:pPr>
          <w:pStyle w:val="Footer"/>
          <w:jc w:val="right"/>
        </w:pPr>
        <w:fldSimple w:instr=" PAGE   \* MERGEFORMAT ">
          <w:r w:rsidR="008942A5">
            <w:rPr>
              <w:noProof/>
            </w:rPr>
            <w:t>206</w:t>
          </w:r>
        </w:fldSimple>
      </w:p>
    </w:sdtContent>
  </w:sdt>
  <w:p w:rsidR="002A6D16" w:rsidRDefault="002A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B1" w:rsidRDefault="006E62B1" w:rsidP="002A6D16">
      <w:pPr>
        <w:spacing w:before="0" w:after="0" w:line="240" w:lineRule="auto"/>
      </w:pPr>
      <w:r>
        <w:separator/>
      </w:r>
    </w:p>
  </w:footnote>
  <w:footnote w:type="continuationSeparator" w:id="1">
    <w:p w:rsidR="006E62B1" w:rsidRDefault="006E62B1" w:rsidP="002A6D1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13935"/>
    <w:rsid w:val="00003D6B"/>
    <w:rsid w:val="000173A7"/>
    <w:rsid w:val="00030839"/>
    <w:rsid w:val="00040C37"/>
    <w:rsid w:val="00061EA1"/>
    <w:rsid w:val="000C2344"/>
    <w:rsid w:val="000E50C9"/>
    <w:rsid w:val="000F246D"/>
    <w:rsid w:val="00101F96"/>
    <w:rsid w:val="00103DDF"/>
    <w:rsid w:val="001660AE"/>
    <w:rsid w:val="0017557C"/>
    <w:rsid w:val="001B669A"/>
    <w:rsid w:val="001D37A5"/>
    <w:rsid w:val="00260B83"/>
    <w:rsid w:val="00282254"/>
    <w:rsid w:val="00282518"/>
    <w:rsid w:val="002A6D16"/>
    <w:rsid w:val="002E3FF4"/>
    <w:rsid w:val="002F3400"/>
    <w:rsid w:val="003266D7"/>
    <w:rsid w:val="003772E2"/>
    <w:rsid w:val="003775FE"/>
    <w:rsid w:val="00380866"/>
    <w:rsid w:val="003C0326"/>
    <w:rsid w:val="003C0821"/>
    <w:rsid w:val="003D57B4"/>
    <w:rsid w:val="003E2F23"/>
    <w:rsid w:val="004260D7"/>
    <w:rsid w:val="00441313"/>
    <w:rsid w:val="00446838"/>
    <w:rsid w:val="004B4AD8"/>
    <w:rsid w:val="004C3CF0"/>
    <w:rsid w:val="004C4C5A"/>
    <w:rsid w:val="00523B2A"/>
    <w:rsid w:val="00555ACB"/>
    <w:rsid w:val="0056009F"/>
    <w:rsid w:val="005944B4"/>
    <w:rsid w:val="006419A7"/>
    <w:rsid w:val="0064592A"/>
    <w:rsid w:val="00667BD0"/>
    <w:rsid w:val="00693142"/>
    <w:rsid w:val="006A4A49"/>
    <w:rsid w:val="006C4B0B"/>
    <w:rsid w:val="006E62B1"/>
    <w:rsid w:val="0071122A"/>
    <w:rsid w:val="00713935"/>
    <w:rsid w:val="007178CA"/>
    <w:rsid w:val="00737606"/>
    <w:rsid w:val="007529B0"/>
    <w:rsid w:val="00766B28"/>
    <w:rsid w:val="00786A8B"/>
    <w:rsid w:val="00786FE3"/>
    <w:rsid w:val="007A757A"/>
    <w:rsid w:val="007B62F5"/>
    <w:rsid w:val="007D0BC2"/>
    <w:rsid w:val="0080356B"/>
    <w:rsid w:val="00821387"/>
    <w:rsid w:val="00821C90"/>
    <w:rsid w:val="0085464D"/>
    <w:rsid w:val="008942A5"/>
    <w:rsid w:val="008A0497"/>
    <w:rsid w:val="008C781B"/>
    <w:rsid w:val="008D28A2"/>
    <w:rsid w:val="008D492D"/>
    <w:rsid w:val="008F0BCB"/>
    <w:rsid w:val="0090490A"/>
    <w:rsid w:val="009061C6"/>
    <w:rsid w:val="00913333"/>
    <w:rsid w:val="0094576C"/>
    <w:rsid w:val="00957DBE"/>
    <w:rsid w:val="009632E9"/>
    <w:rsid w:val="009B57C3"/>
    <w:rsid w:val="00A24EDC"/>
    <w:rsid w:val="00A304D5"/>
    <w:rsid w:val="00A64265"/>
    <w:rsid w:val="00A928D9"/>
    <w:rsid w:val="00A95C65"/>
    <w:rsid w:val="00AB5F3C"/>
    <w:rsid w:val="00AC290A"/>
    <w:rsid w:val="00AE2517"/>
    <w:rsid w:val="00AF22E5"/>
    <w:rsid w:val="00B17D76"/>
    <w:rsid w:val="00B57855"/>
    <w:rsid w:val="00B828D7"/>
    <w:rsid w:val="00B965F4"/>
    <w:rsid w:val="00BA22A7"/>
    <w:rsid w:val="00BE3300"/>
    <w:rsid w:val="00C00D67"/>
    <w:rsid w:val="00C10D3A"/>
    <w:rsid w:val="00C73986"/>
    <w:rsid w:val="00C76E82"/>
    <w:rsid w:val="00C81149"/>
    <w:rsid w:val="00C92502"/>
    <w:rsid w:val="00C95D7D"/>
    <w:rsid w:val="00CA5D0D"/>
    <w:rsid w:val="00CB6D42"/>
    <w:rsid w:val="00CF5592"/>
    <w:rsid w:val="00D14A63"/>
    <w:rsid w:val="00D8326F"/>
    <w:rsid w:val="00DD4342"/>
    <w:rsid w:val="00E622A7"/>
    <w:rsid w:val="00E752F6"/>
    <w:rsid w:val="00EC122D"/>
    <w:rsid w:val="00EF2909"/>
    <w:rsid w:val="00F116ED"/>
    <w:rsid w:val="00F46D6A"/>
    <w:rsid w:val="00F55758"/>
    <w:rsid w:val="00F5725C"/>
    <w:rsid w:val="00F63189"/>
    <w:rsid w:val="00F93F39"/>
    <w:rsid w:val="00FA11B9"/>
    <w:rsid w:val="00FB1D8B"/>
    <w:rsid w:val="00FC5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5725C"/>
    <w:pPr>
      <w:spacing w:before="0" w:after="0" w:line="240" w:lineRule="auto"/>
      <w:ind w:firstLine="0"/>
      <w:jc w:val="center"/>
    </w:pPr>
    <w:rPr>
      <w:rFonts w:ascii="Times New Roman" w:eastAsia="Times New Roman" w:hAnsi="Times New Roman" w:cs="Times New Roman"/>
      <w:sz w:val="20"/>
      <w:szCs w:val="20"/>
    </w:rPr>
  </w:style>
  <w:style w:type="character" w:customStyle="1" w:styleId="normal-h1">
    <w:name w:val="normal-h1"/>
    <w:basedOn w:val="DefaultParagraphFont"/>
    <w:rsid w:val="00F5725C"/>
    <w:rPr>
      <w:rFonts w:ascii="Times New Roman" w:hAnsi="Times New Roman" w:cs="Times New Roman" w:hint="default"/>
      <w:sz w:val="24"/>
      <w:szCs w:val="24"/>
    </w:rPr>
  </w:style>
  <w:style w:type="table" w:styleId="TableGrid">
    <w:name w:val="Table Grid"/>
    <w:basedOn w:val="TableNormal"/>
    <w:uiPriority w:val="59"/>
    <w:rsid w:val="001660A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6D1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A6D16"/>
  </w:style>
  <w:style w:type="paragraph" w:styleId="Footer">
    <w:name w:val="footer"/>
    <w:basedOn w:val="Normal"/>
    <w:link w:val="FooterChar"/>
    <w:uiPriority w:val="99"/>
    <w:unhideWhenUsed/>
    <w:rsid w:val="002A6D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6D16"/>
  </w:style>
</w:styles>
</file>

<file path=word/webSettings.xml><?xml version="1.0" encoding="utf-8"?>
<w:webSettings xmlns:r="http://schemas.openxmlformats.org/officeDocument/2006/relationships" xmlns:w="http://schemas.openxmlformats.org/wordprocessingml/2006/main">
  <w:divs>
    <w:div w:id="69038885">
      <w:bodyDiv w:val="1"/>
      <w:marLeft w:val="0"/>
      <w:marRight w:val="0"/>
      <w:marTop w:val="0"/>
      <w:marBottom w:val="0"/>
      <w:divBdr>
        <w:top w:val="none" w:sz="0" w:space="0" w:color="auto"/>
        <w:left w:val="none" w:sz="0" w:space="0" w:color="auto"/>
        <w:bottom w:val="none" w:sz="0" w:space="0" w:color="auto"/>
        <w:right w:val="none" w:sz="0" w:space="0" w:color="auto"/>
      </w:divBdr>
    </w:div>
    <w:div w:id="216165826">
      <w:bodyDiv w:val="1"/>
      <w:marLeft w:val="0"/>
      <w:marRight w:val="0"/>
      <w:marTop w:val="0"/>
      <w:marBottom w:val="0"/>
      <w:divBdr>
        <w:top w:val="none" w:sz="0" w:space="0" w:color="auto"/>
        <w:left w:val="none" w:sz="0" w:space="0" w:color="auto"/>
        <w:bottom w:val="none" w:sz="0" w:space="0" w:color="auto"/>
        <w:right w:val="none" w:sz="0" w:space="0" w:color="auto"/>
      </w:divBdr>
    </w:div>
    <w:div w:id="291980421">
      <w:bodyDiv w:val="1"/>
      <w:marLeft w:val="0"/>
      <w:marRight w:val="0"/>
      <w:marTop w:val="0"/>
      <w:marBottom w:val="0"/>
      <w:divBdr>
        <w:top w:val="none" w:sz="0" w:space="0" w:color="auto"/>
        <w:left w:val="none" w:sz="0" w:space="0" w:color="auto"/>
        <w:bottom w:val="none" w:sz="0" w:space="0" w:color="auto"/>
        <w:right w:val="none" w:sz="0" w:space="0" w:color="auto"/>
      </w:divBdr>
    </w:div>
    <w:div w:id="591932317">
      <w:bodyDiv w:val="1"/>
      <w:marLeft w:val="0"/>
      <w:marRight w:val="0"/>
      <w:marTop w:val="0"/>
      <w:marBottom w:val="0"/>
      <w:divBdr>
        <w:top w:val="none" w:sz="0" w:space="0" w:color="auto"/>
        <w:left w:val="none" w:sz="0" w:space="0" w:color="auto"/>
        <w:bottom w:val="none" w:sz="0" w:space="0" w:color="auto"/>
        <w:right w:val="none" w:sz="0" w:space="0" w:color="auto"/>
      </w:divBdr>
    </w:div>
    <w:div w:id="692996306">
      <w:bodyDiv w:val="1"/>
      <w:marLeft w:val="0"/>
      <w:marRight w:val="0"/>
      <w:marTop w:val="0"/>
      <w:marBottom w:val="0"/>
      <w:divBdr>
        <w:top w:val="none" w:sz="0" w:space="0" w:color="auto"/>
        <w:left w:val="none" w:sz="0" w:space="0" w:color="auto"/>
        <w:bottom w:val="none" w:sz="0" w:space="0" w:color="auto"/>
        <w:right w:val="none" w:sz="0" w:space="0" w:color="auto"/>
      </w:divBdr>
    </w:div>
    <w:div w:id="17835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phnga</dc:creator>
  <cp:lastModifiedBy>phnga</cp:lastModifiedBy>
  <cp:revision>13</cp:revision>
  <cp:lastPrinted>2014-10-21T07:53:00Z</cp:lastPrinted>
  <dcterms:created xsi:type="dcterms:W3CDTF">2014-05-21T10:29:00Z</dcterms:created>
  <dcterms:modified xsi:type="dcterms:W3CDTF">2014-10-22T05:56:00Z</dcterms:modified>
</cp:coreProperties>
</file>